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3870" w14:textId="77777777" w:rsidR="009D3A68" w:rsidRPr="00546E0A" w:rsidRDefault="00B74891" w:rsidP="0081621A">
      <w:pPr>
        <w:ind w:left="360"/>
        <w:jc w:val="right"/>
        <w:rPr>
          <w:rFonts w:asciiTheme="minorHAnsi" w:hAnsiTheme="minorHAnsi" w:cstheme="minorHAnsi"/>
          <w:sz w:val="24"/>
        </w:rPr>
      </w:pPr>
      <w:r>
        <w:rPr>
          <w:rFonts w:asciiTheme="minorHAnsi" w:hAnsiTheme="minorHAnsi" w:cstheme="minorHAnsi"/>
          <w:sz w:val="24"/>
        </w:rPr>
        <w:t xml:space="preserve">31. </w:t>
      </w:r>
      <w:proofErr w:type="gramStart"/>
      <w:r>
        <w:rPr>
          <w:rFonts w:asciiTheme="minorHAnsi" w:hAnsiTheme="minorHAnsi" w:cstheme="minorHAnsi"/>
          <w:sz w:val="24"/>
        </w:rPr>
        <w:t>ledna  2025</w:t>
      </w:r>
      <w:proofErr w:type="gramEnd"/>
    </w:p>
    <w:p w14:paraId="460EF25C" w14:textId="77777777" w:rsidR="00B74891" w:rsidRPr="00634006" w:rsidRDefault="00B74891" w:rsidP="00B74891">
      <w:pPr>
        <w:jc w:val="center"/>
        <w:rPr>
          <w:rFonts w:cstheme="minorHAnsi"/>
          <w:b/>
          <w:sz w:val="28"/>
          <w:szCs w:val="28"/>
        </w:rPr>
      </w:pPr>
      <w:r w:rsidRPr="00634006">
        <w:rPr>
          <w:rFonts w:cstheme="minorHAnsi"/>
          <w:b/>
          <w:sz w:val="28"/>
          <w:szCs w:val="28"/>
        </w:rPr>
        <w:t>Ohleduplnost a viditelnost v dopravě</w:t>
      </w:r>
    </w:p>
    <w:p w14:paraId="46748CD0" w14:textId="77777777" w:rsidR="00B74891" w:rsidRPr="001072B3" w:rsidRDefault="00B74891" w:rsidP="00B74891">
      <w:pPr>
        <w:jc w:val="both"/>
        <w:rPr>
          <w:rFonts w:cstheme="minorHAnsi"/>
          <w:sz w:val="24"/>
        </w:rPr>
      </w:pPr>
      <w:r w:rsidRPr="001072B3">
        <w:rPr>
          <w:rFonts w:cstheme="minorHAnsi"/>
          <w:sz w:val="24"/>
        </w:rPr>
        <w:t xml:space="preserve">Už se Vám někdy stalo, že ve chvíli, kdy byla tma a řídili jste vozidlo se před Vámi objevila tmavá, téměř neviditelná osoba pohybující se po krajnici vozovky? Tyto situace se bohužel dějí velmi často. V lepším případě se řidič osobě stihne vyhnout, v tom horším může dojít ke srážce, jelikož na úhybný manévr je již pozdě. A právě proto je nutné si uvědomit, že v dopravě je potřeba být velmi obezřetný a především také ohleduplný k ostatním účastníkům silničního provozu a zbytečně neohrozit jak svůj </w:t>
      </w:r>
      <w:r>
        <w:rPr>
          <w:rFonts w:cstheme="minorHAnsi"/>
          <w:sz w:val="24"/>
        </w:rPr>
        <w:t xml:space="preserve">tak i jejich </w:t>
      </w:r>
      <w:r w:rsidRPr="001072B3">
        <w:rPr>
          <w:rFonts w:cstheme="minorHAnsi"/>
          <w:sz w:val="24"/>
        </w:rPr>
        <w:t>život a zdraví. V těchto chladných měsících probíhají ze strany policistů napříč Moravskoslezským krajem dopravně preventivní akce, které jsou na zmíněnou viditelnost a ohleduplnost chodců a řidičů zaměřené.</w:t>
      </w:r>
    </w:p>
    <w:p w14:paraId="004AD5CB" w14:textId="77777777" w:rsidR="00B74891" w:rsidRPr="001072B3" w:rsidRDefault="00B74891" w:rsidP="00B74891">
      <w:pPr>
        <w:jc w:val="both"/>
        <w:rPr>
          <w:rFonts w:cstheme="minorHAnsi"/>
          <w:sz w:val="24"/>
          <w:shd w:val="clear" w:color="auto" w:fill="FFFFFF"/>
        </w:rPr>
      </w:pPr>
      <w:r w:rsidRPr="001072B3">
        <w:rPr>
          <w:rFonts w:cstheme="minorHAnsi"/>
          <w:sz w:val="24"/>
          <w:shd w:val="clear" w:color="auto" w:fill="FFFFFF"/>
        </w:rPr>
        <w:t>Nejen chodci, ale i řidiči motorových vozidel, by </w:t>
      </w:r>
      <w:r w:rsidRPr="001072B3">
        <w:rPr>
          <w:rFonts w:cstheme="minorHAnsi"/>
          <w:bCs/>
          <w:sz w:val="24"/>
          <w:shd w:val="clear" w:color="auto" w:fill="FFFFFF"/>
        </w:rPr>
        <w:t>měli mít při pohybu na komunikacích zodpovědný přístup</w:t>
      </w:r>
      <w:r w:rsidRPr="001072B3">
        <w:rPr>
          <w:rFonts w:cstheme="minorHAnsi"/>
          <w:sz w:val="24"/>
          <w:shd w:val="clear" w:color="auto" w:fill="FFFFFF"/>
        </w:rPr>
        <w:t xml:space="preserve">. Řidič motorového vozidla by se měl chovat obezřetně, ohleduplně, být pozorný a především soustředěný na jízdu. Zimní období sebou přináší sníženou viditelnost. Tu zákon definuje jako situaci, kdy účastníci provozu na pozemních komunikacích dostatečně zřetelně nerozeznají jiná vozidla, osoby, zvířata nebo předměty například od soumraku do svítání, za mlhy, sněžení nebo hustého deště.  Bohužel stále se najde mnoho chodců (ale také cyklistů), kteří podceňují fakt, že při vhodně zvoleném oblečení, které je opatřeno reflexními prvky, mohou snížit riziko kolize s vozidlem. Oblečení v červené a modré barvě je pro řidiče viditelné přibližně od vzdálenosti okolo </w:t>
      </w:r>
      <w:r w:rsidRPr="001072B3">
        <w:rPr>
          <w:rFonts w:cstheme="minorHAnsi"/>
          <w:b/>
          <w:sz w:val="24"/>
          <w:shd w:val="clear" w:color="auto" w:fill="FFFFFF"/>
        </w:rPr>
        <w:t>20 metrů</w:t>
      </w:r>
      <w:r w:rsidRPr="001072B3">
        <w:rPr>
          <w:rFonts w:cstheme="minorHAnsi"/>
          <w:sz w:val="24"/>
          <w:shd w:val="clear" w:color="auto" w:fill="FFFFFF"/>
        </w:rPr>
        <w:t xml:space="preserve">, přičemž při rychlosti vozidla </w:t>
      </w:r>
      <w:r w:rsidRPr="001072B3">
        <w:rPr>
          <w:rFonts w:cstheme="minorHAnsi"/>
          <w:b/>
          <w:sz w:val="24"/>
          <w:shd w:val="clear" w:color="auto" w:fill="FFFFFF"/>
        </w:rPr>
        <w:t>50 km/h</w:t>
      </w:r>
      <w:r w:rsidRPr="001072B3">
        <w:rPr>
          <w:rFonts w:cstheme="minorHAnsi"/>
          <w:sz w:val="24"/>
          <w:shd w:val="clear" w:color="auto" w:fill="FFFFFF"/>
        </w:rPr>
        <w:t xml:space="preserve"> na suchém povrchu silnice je potřeba k zastavení vozidla okolo </w:t>
      </w:r>
      <w:r w:rsidRPr="001072B3">
        <w:rPr>
          <w:rFonts w:cstheme="minorHAnsi"/>
          <w:b/>
          <w:sz w:val="24"/>
          <w:shd w:val="clear" w:color="auto" w:fill="FFFFFF"/>
        </w:rPr>
        <w:t>30 metrů</w:t>
      </w:r>
      <w:r w:rsidRPr="001072B3">
        <w:rPr>
          <w:rFonts w:cstheme="minorHAnsi"/>
          <w:sz w:val="24"/>
          <w:shd w:val="clear" w:color="auto" w:fill="FFFFFF"/>
        </w:rPr>
        <w:t xml:space="preserve"> (reakční dráha 15m a brzdná dráha 15m). Tyto vzdálenosti jsou samozřejmě ovlivněny například počasím, povrchem silnice, stavem vozidla, kvalitou pneumatik, ABS, kondicí, bdělostí a zkušenostmi řidiče. Vzdálenost, na kterou je chodec za snížené viditelnosti vidět, lze několikanásobné zvýšit, a to až na </w:t>
      </w:r>
      <w:r w:rsidRPr="001072B3">
        <w:rPr>
          <w:rFonts w:cstheme="minorHAnsi"/>
          <w:b/>
          <w:sz w:val="24"/>
          <w:shd w:val="clear" w:color="auto" w:fill="FFFFFF"/>
        </w:rPr>
        <w:t>200 m</w:t>
      </w:r>
      <w:r w:rsidRPr="001072B3">
        <w:rPr>
          <w:rFonts w:cstheme="minorHAnsi"/>
          <w:sz w:val="24"/>
          <w:shd w:val="clear" w:color="auto" w:fill="FFFFFF"/>
        </w:rPr>
        <w:t xml:space="preserve"> právě pomocí reflexních prvků. Na použití těchto </w:t>
      </w:r>
      <w:r>
        <w:rPr>
          <w:rFonts w:cstheme="minorHAnsi"/>
          <w:sz w:val="24"/>
          <w:shd w:val="clear" w:color="auto" w:fill="FFFFFF"/>
        </w:rPr>
        <w:t>prvků pamatuje</w:t>
      </w:r>
      <w:r w:rsidRPr="001072B3">
        <w:rPr>
          <w:rFonts w:cstheme="minorHAnsi"/>
          <w:sz w:val="24"/>
          <w:shd w:val="clear" w:color="auto" w:fill="FFFFFF"/>
        </w:rPr>
        <w:t xml:space="preserve"> i zákon, který chodcům přímo určuje povinnost mít na sobě reflexní prvky, pokud se za snížené viditelnosti pohybují mimo obec po krajnici nebo okraji vozovky v místě, které není osvětleno veřejným osvětlením. Doplňky z reflexních materiálů je nejlépe umístit na pohyblivých částech těla, ideálně nad zápěstím a nad kotníkem.</w:t>
      </w:r>
    </w:p>
    <w:p w14:paraId="51F87222" w14:textId="77777777" w:rsidR="00B74891" w:rsidRPr="001072B3" w:rsidRDefault="00B74891" w:rsidP="00B74891">
      <w:pPr>
        <w:jc w:val="both"/>
        <w:rPr>
          <w:rFonts w:cstheme="minorHAnsi"/>
          <w:sz w:val="24"/>
          <w:shd w:val="clear" w:color="auto" w:fill="FFFFFF"/>
        </w:rPr>
      </w:pPr>
      <w:r w:rsidRPr="001072B3">
        <w:rPr>
          <w:rFonts w:cstheme="minorHAnsi"/>
          <w:sz w:val="24"/>
          <w:shd w:val="clear" w:color="auto" w:fill="FFFFFF"/>
        </w:rPr>
        <w:t xml:space="preserve">Na zvýšenou ohleduplnost a bezpečnost by měli řidiči a chodci dbát především také na místech určených k přecházení vozovky, tedy na přechodech pro chodce a v jejich blízkosti. V posledních týdnech bohužel došlo v Moravskoslezském kraji na přechodech pro chodce hned k několika dopravním nehodám, během kterých byl sražen chodec. Je potřeba si uvědomit, že </w:t>
      </w:r>
      <w:r w:rsidRPr="005F7CCC">
        <w:rPr>
          <w:rFonts w:cstheme="minorHAnsi"/>
          <w:b/>
          <w:bCs/>
          <w:sz w:val="24"/>
          <w:u w:val="single"/>
          <w:shd w:val="clear" w:color="auto" w:fill="FFFFFF"/>
        </w:rPr>
        <w:t>neplatí a nikdy neplatilo pravidlo absolutní předností chodce</w:t>
      </w:r>
      <w:r w:rsidRPr="001072B3">
        <w:rPr>
          <w:rFonts w:cstheme="minorHAnsi"/>
          <w:sz w:val="24"/>
          <w:shd w:val="clear" w:color="auto" w:fill="FFFFFF"/>
        </w:rPr>
        <w:t>. Abychom mohli přejít vozovku bezpečně, je nutné vnímat okolní dění, tedy nav</w:t>
      </w:r>
      <w:r>
        <w:rPr>
          <w:rFonts w:cstheme="minorHAnsi"/>
          <w:sz w:val="24"/>
          <w:shd w:val="clear" w:color="auto" w:fill="FFFFFF"/>
        </w:rPr>
        <w:t>ázat oční kontakt s řidičem. Je</w:t>
      </w:r>
      <w:r w:rsidRPr="001072B3">
        <w:rPr>
          <w:rFonts w:cstheme="minorHAnsi"/>
          <w:sz w:val="24"/>
          <w:shd w:val="clear" w:color="auto" w:fill="FFFFFF"/>
        </w:rPr>
        <w:t xml:space="preserve"> nezbytné se pořádně rozhlédnout na obě strany, a pokud se na silnici nachází dva jízdní pruhy pro jeden směr jízdy, vnímat, zda Vás řidič v druhém pruhu také vidí.</w:t>
      </w:r>
    </w:p>
    <w:p w14:paraId="433F74B2" w14:textId="77777777" w:rsidR="00B74891" w:rsidRPr="001072B3" w:rsidRDefault="00B74891" w:rsidP="00B74891">
      <w:pPr>
        <w:jc w:val="both"/>
        <w:rPr>
          <w:rFonts w:cstheme="minorHAnsi"/>
          <w:iCs/>
          <w:sz w:val="24"/>
          <w:shd w:val="clear" w:color="auto" w:fill="FFFFFF"/>
        </w:rPr>
      </w:pPr>
      <w:r w:rsidRPr="001072B3">
        <w:rPr>
          <w:rFonts w:cstheme="minorHAnsi"/>
          <w:sz w:val="24"/>
          <w:shd w:val="clear" w:color="auto" w:fill="FFFFFF"/>
        </w:rPr>
        <w:t xml:space="preserve">V rámci viditelnosti a bezpečnosti je potřeba si také připomenout, kdy mají řidiči během jízdy za snížené viditelnosti používat mlhová světla. Mnoho řidičů s tím má problém. Mívají je zapnutá v případech, kdy to není potřeba a oslňují tak řidiče ostatních vozidel. Někteří řidiči </w:t>
      </w:r>
      <w:r w:rsidRPr="001072B3">
        <w:rPr>
          <w:rFonts w:cstheme="minorHAnsi"/>
          <w:sz w:val="24"/>
          <w:shd w:val="clear" w:color="auto" w:fill="FFFFFF"/>
        </w:rPr>
        <w:lastRenderedPageBreak/>
        <w:t xml:space="preserve">pak naopak mlhová světla nevyužívají za snížené viditelnosti vůbec. Tím však mohou být v dané chvíli pro ostatní účastníky silničního provozu takřka neviditelní, což je velmi nebezpečné. </w:t>
      </w:r>
      <w:r w:rsidRPr="001072B3">
        <w:rPr>
          <w:rFonts w:cstheme="minorHAnsi"/>
          <w:b/>
          <w:bCs/>
          <w:sz w:val="24"/>
          <w:shd w:val="clear" w:color="auto" w:fill="FFFFFF"/>
        </w:rPr>
        <w:t>Správné užití mlhových světel definuje zákon</w:t>
      </w:r>
      <w:r>
        <w:rPr>
          <w:rFonts w:cstheme="minorHAnsi"/>
          <w:sz w:val="24"/>
          <w:shd w:val="clear" w:color="auto" w:fill="FFFFFF"/>
        </w:rPr>
        <w:t>: „</w:t>
      </w:r>
      <w:r w:rsidRPr="001072B3">
        <w:rPr>
          <w:rFonts w:cstheme="minorHAnsi"/>
          <w:iCs/>
          <w:sz w:val="24"/>
          <w:shd w:val="clear" w:color="auto" w:fill="FFFFFF"/>
        </w:rPr>
        <w:t xml:space="preserve">Přední světla do mlhy </w:t>
      </w:r>
      <w:r w:rsidRPr="001072B3">
        <w:rPr>
          <w:rFonts w:cstheme="minorHAnsi"/>
          <w:b/>
          <w:iCs/>
          <w:sz w:val="24"/>
          <w:shd w:val="clear" w:color="auto" w:fill="FFFFFF"/>
        </w:rPr>
        <w:t>smí</w:t>
      </w:r>
      <w:r w:rsidRPr="001072B3">
        <w:rPr>
          <w:rFonts w:cstheme="minorHAnsi"/>
          <w:iCs/>
          <w:sz w:val="24"/>
          <w:shd w:val="clear" w:color="auto" w:fill="FFFFFF"/>
        </w:rPr>
        <w:t xml:space="preserve"> řidič užít jen za mlhy, sněžení  nebo hustého deště. Zadní světla do mlhy </w:t>
      </w:r>
      <w:r w:rsidRPr="001072B3">
        <w:rPr>
          <w:rFonts w:cstheme="minorHAnsi"/>
          <w:b/>
          <w:iCs/>
          <w:sz w:val="24"/>
          <w:shd w:val="clear" w:color="auto" w:fill="FFFFFF"/>
        </w:rPr>
        <w:t>musí</w:t>
      </w:r>
      <w:r w:rsidRPr="001072B3">
        <w:rPr>
          <w:rFonts w:cstheme="minorHAnsi"/>
          <w:iCs/>
          <w:sz w:val="24"/>
          <w:shd w:val="clear" w:color="auto" w:fill="FFFFFF"/>
        </w:rPr>
        <w:t xml:space="preserve"> řidič za mlhy, sněžení nebo hustého deště užít vždy.“</w:t>
      </w:r>
      <w:r w:rsidRPr="001072B3">
        <w:rPr>
          <w:rFonts w:cstheme="minorHAnsi"/>
          <w:sz w:val="24"/>
          <w:shd w:val="clear" w:color="auto" w:fill="FFFFFF"/>
        </w:rPr>
        <w:t xml:space="preserve"> Mlhová světla za snížené viditelnosti nemusí mít řidič zapnuté, </w:t>
      </w:r>
      <w:r w:rsidRPr="001072B3">
        <w:rPr>
          <w:rFonts w:cstheme="minorHAnsi"/>
          <w:iCs/>
          <w:sz w:val="24"/>
          <w:shd w:val="clear" w:color="auto" w:fill="FFFFFF"/>
        </w:rPr>
        <w:t>pokud jede v proudu souvisle pomalu jedoucích vozidel nebo stojí v koloně. V obou případech však řidič musí před vypnutím zadních mlhových světel zkontrolovat, že právě on není v dané koloně nebo v pomalu jedoucím proudu posledním vozidlem a nehrozí, že by do něj zezadu nabouralo z důvodu špatné viditelnosti přijíždějící vozidlo.</w:t>
      </w:r>
      <w:r>
        <w:rPr>
          <w:rFonts w:cstheme="minorHAnsi"/>
          <w:iCs/>
          <w:sz w:val="24"/>
          <w:shd w:val="clear" w:color="auto" w:fill="FFFFFF"/>
        </w:rPr>
        <w:t xml:space="preserve"> Všechny výše zmíněná pravidla pro použití mlhových světel platí jak pro jízdu mimo obec, tak i pro jízdu v obci.</w:t>
      </w:r>
      <w:r w:rsidRPr="001072B3">
        <w:rPr>
          <w:rFonts w:cstheme="minorHAnsi"/>
          <w:iCs/>
          <w:sz w:val="24"/>
          <w:shd w:val="clear" w:color="auto" w:fill="FFFFFF"/>
        </w:rPr>
        <w:t xml:space="preserve"> Řidiči, kteří používají na vozidle automatické přepínání světel, musí mít na paměti, že za snížené viditelnosti jako je například mlha, hustý déšť či husté sněžení vozidlo nemusí vždy samo automaticky přepnout z denního svícení na potkávací světla a toto přepnutí je proto potřeba provést manuálně.  </w:t>
      </w:r>
    </w:p>
    <w:p w14:paraId="746C9991" w14:textId="77777777" w:rsidR="00BA34F2" w:rsidRPr="00546E0A" w:rsidRDefault="00BA34F2" w:rsidP="009D3A68">
      <w:pPr>
        <w:rPr>
          <w:rFonts w:asciiTheme="minorHAnsi" w:hAnsiTheme="minorHAnsi" w:cstheme="minorHAnsi"/>
          <w:sz w:val="24"/>
        </w:rPr>
      </w:pPr>
    </w:p>
    <w:p w14:paraId="054C45C4" w14:textId="77777777" w:rsidR="009D3A68" w:rsidRPr="00546E0A" w:rsidRDefault="009D3A68" w:rsidP="009D3A68">
      <w:pPr>
        <w:spacing w:before="100" w:beforeAutospacing="1" w:after="100" w:afterAutospacing="1" w:line="240" w:lineRule="auto"/>
        <w:rPr>
          <w:rFonts w:asciiTheme="minorHAnsi" w:hAnsiTheme="minorHAnsi" w:cstheme="minorHAnsi"/>
          <w:sz w:val="24"/>
        </w:rPr>
      </w:pPr>
      <w:r w:rsidRPr="00546E0A">
        <w:rPr>
          <w:rFonts w:asciiTheme="minorHAnsi" w:hAnsiTheme="minorHAnsi" w:cstheme="minorHAnsi"/>
          <w:sz w:val="24"/>
        </w:rPr>
        <w:t>Krajské ředitelství policie Moravskoslezského kraje</w:t>
      </w:r>
      <w:r w:rsidRPr="00546E0A">
        <w:rPr>
          <w:rFonts w:asciiTheme="minorHAnsi" w:hAnsiTheme="minorHAnsi" w:cstheme="minorHAnsi"/>
          <w:sz w:val="24"/>
        </w:rPr>
        <w:br/>
        <w:t>oddělení prevence</w:t>
      </w:r>
      <w:r w:rsidRPr="00546E0A">
        <w:rPr>
          <w:rFonts w:asciiTheme="minorHAnsi" w:hAnsiTheme="minorHAnsi" w:cstheme="minorHAnsi"/>
          <w:sz w:val="24"/>
        </w:rPr>
        <w:br/>
        <w:t>por. Bc. Ma</w:t>
      </w:r>
      <w:r w:rsidR="0081621A" w:rsidRPr="00546E0A">
        <w:rPr>
          <w:rFonts w:asciiTheme="minorHAnsi" w:hAnsiTheme="minorHAnsi" w:cstheme="minorHAnsi"/>
          <w:sz w:val="24"/>
        </w:rPr>
        <w:t xml:space="preserve">rtina </w:t>
      </w:r>
      <w:proofErr w:type="spellStart"/>
      <w:r w:rsidR="0081621A" w:rsidRPr="00546E0A">
        <w:rPr>
          <w:rFonts w:asciiTheme="minorHAnsi" w:hAnsiTheme="minorHAnsi" w:cstheme="minorHAnsi"/>
          <w:sz w:val="24"/>
        </w:rPr>
        <w:t>Jablońská</w:t>
      </w:r>
      <w:proofErr w:type="spellEnd"/>
      <w:r w:rsidR="0081621A" w:rsidRPr="00546E0A">
        <w:rPr>
          <w:rFonts w:asciiTheme="minorHAnsi" w:hAnsiTheme="minorHAnsi" w:cstheme="minorHAnsi"/>
          <w:sz w:val="24"/>
        </w:rPr>
        <w:br/>
      </w:r>
    </w:p>
    <w:p w14:paraId="5A1D2DDE" w14:textId="77777777" w:rsidR="002564F5" w:rsidRPr="002564F5" w:rsidRDefault="002564F5" w:rsidP="002564F5">
      <w:pPr>
        <w:jc w:val="center"/>
        <w:rPr>
          <w:iCs/>
          <w:szCs w:val="22"/>
        </w:rPr>
      </w:pPr>
      <w:r w:rsidRPr="002564F5">
        <w:rPr>
          <w:iCs/>
          <w:szCs w:val="22"/>
        </w:rPr>
        <w:t xml:space="preserve">    </w:t>
      </w:r>
      <w:r>
        <w:rPr>
          <w:iCs/>
          <w:szCs w:val="22"/>
        </w:rPr>
        <w:t xml:space="preserve">                                                                                            </w:t>
      </w:r>
    </w:p>
    <w:p w14:paraId="2C758A4C" w14:textId="77777777" w:rsidR="00CA48D8" w:rsidRDefault="00CA48D8" w:rsidP="00CA48D8">
      <w:pPr>
        <w:ind w:left="708"/>
        <w:rPr>
          <w:rFonts w:cs="Arial"/>
          <w:color w:val="000000"/>
          <w:szCs w:val="22"/>
        </w:rPr>
      </w:pPr>
    </w:p>
    <w:p w14:paraId="3447479F" w14:textId="77777777" w:rsidR="00CA48D8" w:rsidRDefault="00CA48D8" w:rsidP="00CA48D8">
      <w:pPr>
        <w:jc w:val="both"/>
      </w:pPr>
    </w:p>
    <w:p w14:paraId="2D937994" w14:textId="77777777" w:rsidR="007F55A2" w:rsidRDefault="007F55A2" w:rsidP="007C0B18">
      <w:pPr>
        <w:jc w:val="both"/>
        <w:rPr>
          <w:rFonts w:cs="Arial"/>
          <w:color w:val="000000"/>
          <w:szCs w:val="22"/>
        </w:rPr>
      </w:pPr>
    </w:p>
    <w:sectPr w:rsidR="007F55A2" w:rsidSect="003838FA">
      <w:footerReference w:type="default" r:id="rId8"/>
      <w:headerReference w:type="first" r:id="rId9"/>
      <w:footerReference w:type="first" r:id="rId10"/>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0E55" w14:textId="77777777" w:rsidR="008115E7" w:rsidRDefault="008115E7">
      <w:r>
        <w:separator/>
      </w:r>
    </w:p>
  </w:endnote>
  <w:endnote w:type="continuationSeparator" w:id="0">
    <w:p w14:paraId="7B541EA5" w14:textId="77777777" w:rsidR="008115E7" w:rsidRDefault="0081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7515" w14:textId="77777777"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B74891">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0125" w14:textId="77777777" w:rsidR="003033CD" w:rsidRDefault="003033CD">
    <w:pPr>
      <w:pStyle w:val="Zpat"/>
    </w:pPr>
  </w:p>
  <w:p w14:paraId="102AB998" w14:textId="77777777" w:rsidR="003033CD" w:rsidRDefault="00281F8A">
    <w:pPr>
      <w:pStyle w:val="Zpat"/>
    </w:pPr>
    <w:r>
      <w:t>Špálova 3</w:t>
    </w:r>
  </w:p>
  <w:p w14:paraId="521EA4D4" w14:textId="77777777" w:rsidR="003033CD" w:rsidRDefault="0055746C" w:rsidP="00C70F2F">
    <w:pPr>
      <w:pStyle w:val="Zpat"/>
    </w:pPr>
    <w:r>
      <w:t>7</w:t>
    </w:r>
    <w:r w:rsidR="00281F8A">
      <w:t>0</w:t>
    </w:r>
    <w:r>
      <w:t>2</w:t>
    </w:r>
    <w:r w:rsidR="00281F8A">
      <w:t xml:space="preserve"> 00</w:t>
    </w:r>
    <w:r>
      <w:t xml:space="preserve"> Ostrava</w:t>
    </w:r>
  </w:p>
  <w:p w14:paraId="7CA64416" w14:textId="77777777" w:rsidR="003033CD" w:rsidRDefault="003033CD">
    <w:pPr>
      <w:pStyle w:val="Zpat"/>
    </w:pPr>
  </w:p>
  <w:p w14:paraId="118EEF7D" w14:textId="77777777" w:rsidR="003033CD" w:rsidRDefault="003033CD">
    <w:pPr>
      <w:pStyle w:val="Zpat"/>
    </w:pPr>
    <w:r>
      <w:t>Tel.: +420</w:t>
    </w:r>
    <w:r w:rsidR="006B1A86">
      <w:t> 974</w:t>
    </w:r>
    <w:r w:rsidR="00281F8A">
      <w:t> </w:t>
    </w:r>
    <w:r w:rsidR="006B1A86">
      <w:t>72</w:t>
    </w:r>
    <w:r w:rsidR="00B77A9B">
      <w:t>2 233</w:t>
    </w:r>
  </w:p>
  <w:p w14:paraId="33864CAD" w14:textId="77777777" w:rsidR="003033CD" w:rsidRDefault="009C05A9">
    <w:pPr>
      <w:pStyle w:val="Zpat"/>
    </w:pPr>
    <w:r>
      <w:rPr>
        <w:noProof/>
      </w:rPr>
      <w:drawing>
        <wp:anchor distT="0" distB="0" distL="114300" distR="114300" simplePos="0" relativeHeight="251659264" behindDoc="0" locked="1" layoutInCell="1" allowOverlap="1" wp14:anchorId="0799E6F5" wp14:editId="363DFF13">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A065" w14:textId="77777777" w:rsidR="008115E7" w:rsidRDefault="008115E7">
      <w:r>
        <w:separator/>
      </w:r>
    </w:p>
  </w:footnote>
  <w:footnote w:type="continuationSeparator" w:id="0">
    <w:p w14:paraId="77FDF246" w14:textId="77777777" w:rsidR="008115E7" w:rsidRDefault="0081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A86D" w14:textId="77777777" w:rsidR="003033CD" w:rsidRDefault="009C05A9" w:rsidP="001634F4">
    <w:pPr>
      <w:pStyle w:val="n3"/>
    </w:pPr>
    <w:r>
      <w:drawing>
        <wp:anchor distT="0" distB="0" distL="114300" distR="114300" simplePos="0" relativeHeight="251660288" behindDoc="1" locked="1" layoutInCell="1" allowOverlap="1" wp14:anchorId="084BFA3C" wp14:editId="65CB9328">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14:paraId="08639370" w14:textId="77777777" w:rsidTr="00860B48">
      <w:trPr>
        <w:trHeight w:val="1644"/>
      </w:trPr>
      <w:tc>
        <w:tcPr>
          <w:tcW w:w="2155" w:type="dxa"/>
          <w:vAlign w:val="bottom"/>
        </w:tcPr>
        <w:p w14:paraId="2F68260E" w14:textId="77777777" w:rsidR="004C509E" w:rsidRDefault="004C509E" w:rsidP="003E0E50">
          <w:pPr>
            <w:pStyle w:val="Zhlav"/>
          </w:pPr>
        </w:p>
      </w:tc>
      <w:tc>
        <w:tcPr>
          <w:tcW w:w="170" w:type="dxa"/>
          <w:tcBorders>
            <w:left w:val="nil"/>
          </w:tcBorders>
          <w:vAlign w:val="bottom"/>
        </w:tcPr>
        <w:p w14:paraId="4988B35D" w14:textId="77777777" w:rsidR="004C509E" w:rsidRPr="00BD37AC" w:rsidRDefault="004C509E" w:rsidP="003E0E50">
          <w:pPr>
            <w:pStyle w:val="Zhlav"/>
          </w:pPr>
        </w:p>
      </w:tc>
      <w:tc>
        <w:tcPr>
          <w:tcW w:w="7314" w:type="dxa"/>
          <w:vAlign w:val="bottom"/>
        </w:tcPr>
        <w:p w14:paraId="1C55CD2E" w14:textId="77777777" w:rsidR="00953C55" w:rsidRDefault="004D2BEB" w:rsidP="003E0E50">
          <w:pPr>
            <w:pStyle w:val="Zhlav"/>
          </w:pPr>
          <w:r>
            <w:t>Policie Č</w:t>
          </w:r>
          <w:r w:rsidR="00953C55">
            <w:t>eské republiky</w:t>
          </w:r>
        </w:p>
        <w:p w14:paraId="22AD21BF" w14:textId="77777777" w:rsidR="004D2BEB" w:rsidRDefault="004D2BEB" w:rsidP="003E0E50">
          <w:pPr>
            <w:pStyle w:val="Zhlav"/>
          </w:pPr>
          <w:r>
            <w:t>KRAJSKÉ ŘEDITELSTVÍ POLICIE MORAVSKOSLEZSKÉHO KRAJE</w:t>
          </w:r>
        </w:p>
        <w:p w14:paraId="66F47387" w14:textId="77777777" w:rsidR="00F2713B" w:rsidRDefault="00F2713B" w:rsidP="003E0E50">
          <w:pPr>
            <w:pStyle w:val="Zhlav"/>
          </w:pPr>
        </w:p>
        <w:p w14:paraId="4B00E566" w14:textId="77777777" w:rsidR="004C509E" w:rsidRDefault="004D2BEB" w:rsidP="003E0E50">
          <w:pPr>
            <w:pStyle w:val="Zahlavi2"/>
          </w:pPr>
          <w:r>
            <w:t>kancelář ředitele</w:t>
          </w:r>
          <w:r w:rsidR="00953C55">
            <w:t xml:space="preserve"> krajského ředitelství</w:t>
          </w:r>
        </w:p>
        <w:p w14:paraId="7C6D4E58" w14:textId="77777777" w:rsidR="004C509E" w:rsidRPr="006867E9" w:rsidRDefault="00281F8A" w:rsidP="003E0E50">
          <w:pPr>
            <w:pStyle w:val="Zahlavi3"/>
          </w:pPr>
          <w:r>
            <w:t xml:space="preserve">oddělení </w:t>
          </w:r>
          <w:r w:rsidR="004D2BEB">
            <w:t>prevence</w:t>
          </w:r>
        </w:p>
      </w:tc>
    </w:tr>
    <w:tr w:rsidR="00860B48" w14:paraId="154B34AD" w14:textId="77777777" w:rsidTr="00860B48">
      <w:trPr>
        <w:trHeight w:val="851"/>
      </w:trPr>
      <w:tc>
        <w:tcPr>
          <w:tcW w:w="2155" w:type="dxa"/>
        </w:tcPr>
        <w:p w14:paraId="6F1BE0C3" w14:textId="77777777" w:rsidR="003033CD" w:rsidRDefault="003033CD" w:rsidP="00776A76">
          <w:pPr>
            <w:pStyle w:val="Zhlav"/>
          </w:pPr>
        </w:p>
      </w:tc>
      <w:tc>
        <w:tcPr>
          <w:tcW w:w="170" w:type="dxa"/>
          <w:tcBorders>
            <w:left w:val="nil"/>
          </w:tcBorders>
        </w:tcPr>
        <w:p w14:paraId="1B8A9812" w14:textId="77777777" w:rsidR="003033CD" w:rsidRPr="00BD37AC" w:rsidRDefault="003033CD" w:rsidP="00652F98">
          <w:pPr>
            <w:pStyle w:val="Zhlav"/>
          </w:pPr>
        </w:p>
      </w:tc>
      <w:tc>
        <w:tcPr>
          <w:tcW w:w="7314" w:type="dxa"/>
          <w:vAlign w:val="bottom"/>
        </w:tcPr>
        <w:p w14:paraId="2EF8AE80" w14:textId="77777777" w:rsidR="003033CD" w:rsidRPr="006867E9" w:rsidRDefault="003033CD" w:rsidP="005B2342">
          <w:pPr>
            <w:pStyle w:val="Zahlavi3"/>
          </w:pPr>
        </w:p>
      </w:tc>
    </w:tr>
  </w:tbl>
  <w:p w14:paraId="013091F7" w14:textId="77777777" w:rsidR="003033CD" w:rsidRDefault="009C05A9">
    <w:pPr>
      <w:pStyle w:val="Zhlav"/>
    </w:pPr>
    <w:r>
      <w:rPr>
        <w:noProof/>
      </w:rPr>
      <mc:AlternateContent>
        <mc:Choice Requires="wps">
          <w:drawing>
            <wp:anchor distT="0" distB="0" distL="114300" distR="114300" simplePos="0" relativeHeight="251655168" behindDoc="0" locked="1" layoutInCell="1" allowOverlap="1" wp14:anchorId="4DD94AAF" wp14:editId="2412FDA8">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14:paraId="036F4CFB" w14:textId="77777777" w:rsidR="003033CD" w:rsidRDefault="009C05A9" w:rsidP="00866422">
                          <w:r>
                            <w:rPr>
                              <w:caps/>
                              <w:noProof/>
                            </w:rPr>
                            <w:drawing>
                              <wp:inline distT="0" distB="0" distL="0" distR="0" wp14:anchorId="740FB096" wp14:editId="18F652A6">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53BB"/>
    <w:multiLevelType w:val="hybridMultilevel"/>
    <w:tmpl w:val="E8D0F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6511D65"/>
    <w:multiLevelType w:val="hybridMultilevel"/>
    <w:tmpl w:val="84960EE0"/>
    <w:lvl w:ilvl="0" w:tplc="F80C9F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DA77E07"/>
    <w:multiLevelType w:val="hybridMultilevel"/>
    <w:tmpl w:val="8436B17A"/>
    <w:lvl w:ilvl="0" w:tplc="5428EB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E06209E"/>
    <w:multiLevelType w:val="hybridMultilevel"/>
    <w:tmpl w:val="B4860EFC"/>
    <w:lvl w:ilvl="0" w:tplc="2118F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FB3108"/>
    <w:multiLevelType w:val="hybridMultilevel"/>
    <w:tmpl w:val="72746C1E"/>
    <w:lvl w:ilvl="0" w:tplc="F5A07BB0">
      <w:start w:val="1"/>
      <w:numFmt w:val="decimal"/>
      <w:lvlText w:val="%1."/>
      <w:lvlJc w:val="left"/>
      <w:pPr>
        <w:ind w:left="8280" w:hanging="360"/>
      </w:pPr>
      <w:rPr>
        <w:rFonts w:hint="default"/>
      </w:rPr>
    </w:lvl>
    <w:lvl w:ilvl="1" w:tplc="04050019" w:tentative="1">
      <w:start w:val="1"/>
      <w:numFmt w:val="lowerLetter"/>
      <w:lvlText w:val="%2."/>
      <w:lvlJc w:val="left"/>
      <w:pPr>
        <w:ind w:left="9000" w:hanging="360"/>
      </w:pPr>
    </w:lvl>
    <w:lvl w:ilvl="2" w:tplc="0405001B" w:tentative="1">
      <w:start w:val="1"/>
      <w:numFmt w:val="lowerRoman"/>
      <w:lvlText w:val="%3."/>
      <w:lvlJc w:val="right"/>
      <w:pPr>
        <w:ind w:left="9720" w:hanging="180"/>
      </w:pPr>
    </w:lvl>
    <w:lvl w:ilvl="3" w:tplc="0405000F" w:tentative="1">
      <w:start w:val="1"/>
      <w:numFmt w:val="decimal"/>
      <w:lvlText w:val="%4."/>
      <w:lvlJc w:val="left"/>
      <w:pPr>
        <w:ind w:left="10440" w:hanging="360"/>
      </w:pPr>
    </w:lvl>
    <w:lvl w:ilvl="4" w:tplc="04050019" w:tentative="1">
      <w:start w:val="1"/>
      <w:numFmt w:val="lowerLetter"/>
      <w:lvlText w:val="%5."/>
      <w:lvlJc w:val="left"/>
      <w:pPr>
        <w:ind w:left="11160" w:hanging="360"/>
      </w:pPr>
    </w:lvl>
    <w:lvl w:ilvl="5" w:tplc="0405001B" w:tentative="1">
      <w:start w:val="1"/>
      <w:numFmt w:val="lowerRoman"/>
      <w:lvlText w:val="%6."/>
      <w:lvlJc w:val="right"/>
      <w:pPr>
        <w:ind w:left="11880" w:hanging="180"/>
      </w:pPr>
    </w:lvl>
    <w:lvl w:ilvl="6" w:tplc="0405000F" w:tentative="1">
      <w:start w:val="1"/>
      <w:numFmt w:val="decimal"/>
      <w:lvlText w:val="%7."/>
      <w:lvlJc w:val="left"/>
      <w:pPr>
        <w:ind w:left="12600" w:hanging="360"/>
      </w:pPr>
    </w:lvl>
    <w:lvl w:ilvl="7" w:tplc="04050019" w:tentative="1">
      <w:start w:val="1"/>
      <w:numFmt w:val="lowerLetter"/>
      <w:lvlText w:val="%8."/>
      <w:lvlJc w:val="left"/>
      <w:pPr>
        <w:ind w:left="13320" w:hanging="360"/>
      </w:pPr>
    </w:lvl>
    <w:lvl w:ilvl="8" w:tplc="0405001B" w:tentative="1">
      <w:start w:val="1"/>
      <w:numFmt w:val="lowerRoman"/>
      <w:lvlText w:val="%9."/>
      <w:lvlJc w:val="right"/>
      <w:pPr>
        <w:ind w:left="14040" w:hanging="180"/>
      </w:pPr>
    </w:lvl>
  </w:abstractNum>
  <w:abstractNum w:abstractNumId="5" w15:restartNumberingAfterBreak="0">
    <w:nsid w:val="759C3F54"/>
    <w:multiLevelType w:val="hybridMultilevel"/>
    <w:tmpl w:val="0AEEA364"/>
    <w:lvl w:ilvl="0" w:tplc="3E16377C">
      <w:start w:val="12"/>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A67D26"/>
    <w:multiLevelType w:val="hybridMultilevel"/>
    <w:tmpl w:val="F774A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5B6A66"/>
    <w:multiLevelType w:val="hybridMultilevel"/>
    <w:tmpl w:val="6F8821D4"/>
    <w:lvl w:ilvl="0" w:tplc="72907240">
      <w:start w:val="1"/>
      <w:numFmt w:val="decimal"/>
      <w:lvlText w:val="%1."/>
      <w:lvlJc w:val="left"/>
      <w:pPr>
        <w:ind w:left="3075" w:hanging="360"/>
      </w:pPr>
      <w:rPr>
        <w:rFonts w:hint="default"/>
      </w:rPr>
    </w:lvl>
    <w:lvl w:ilvl="1" w:tplc="04050019" w:tentative="1">
      <w:start w:val="1"/>
      <w:numFmt w:val="lowerLetter"/>
      <w:lvlText w:val="%2."/>
      <w:lvlJc w:val="left"/>
      <w:pPr>
        <w:ind w:left="3795" w:hanging="360"/>
      </w:pPr>
    </w:lvl>
    <w:lvl w:ilvl="2" w:tplc="0405001B" w:tentative="1">
      <w:start w:val="1"/>
      <w:numFmt w:val="lowerRoman"/>
      <w:lvlText w:val="%3."/>
      <w:lvlJc w:val="right"/>
      <w:pPr>
        <w:ind w:left="4515" w:hanging="180"/>
      </w:pPr>
    </w:lvl>
    <w:lvl w:ilvl="3" w:tplc="0405000F" w:tentative="1">
      <w:start w:val="1"/>
      <w:numFmt w:val="decimal"/>
      <w:lvlText w:val="%4."/>
      <w:lvlJc w:val="left"/>
      <w:pPr>
        <w:ind w:left="5235" w:hanging="360"/>
      </w:pPr>
    </w:lvl>
    <w:lvl w:ilvl="4" w:tplc="04050019" w:tentative="1">
      <w:start w:val="1"/>
      <w:numFmt w:val="lowerLetter"/>
      <w:lvlText w:val="%5."/>
      <w:lvlJc w:val="left"/>
      <w:pPr>
        <w:ind w:left="5955" w:hanging="360"/>
      </w:pPr>
    </w:lvl>
    <w:lvl w:ilvl="5" w:tplc="0405001B" w:tentative="1">
      <w:start w:val="1"/>
      <w:numFmt w:val="lowerRoman"/>
      <w:lvlText w:val="%6."/>
      <w:lvlJc w:val="right"/>
      <w:pPr>
        <w:ind w:left="6675" w:hanging="180"/>
      </w:pPr>
    </w:lvl>
    <w:lvl w:ilvl="6" w:tplc="0405000F" w:tentative="1">
      <w:start w:val="1"/>
      <w:numFmt w:val="decimal"/>
      <w:lvlText w:val="%7."/>
      <w:lvlJc w:val="left"/>
      <w:pPr>
        <w:ind w:left="7395" w:hanging="360"/>
      </w:pPr>
    </w:lvl>
    <w:lvl w:ilvl="7" w:tplc="04050019" w:tentative="1">
      <w:start w:val="1"/>
      <w:numFmt w:val="lowerLetter"/>
      <w:lvlText w:val="%8."/>
      <w:lvlJc w:val="left"/>
      <w:pPr>
        <w:ind w:left="8115" w:hanging="360"/>
      </w:pPr>
    </w:lvl>
    <w:lvl w:ilvl="8" w:tplc="0405001B" w:tentative="1">
      <w:start w:val="1"/>
      <w:numFmt w:val="lowerRoman"/>
      <w:lvlText w:val="%9."/>
      <w:lvlJc w:val="right"/>
      <w:pPr>
        <w:ind w:left="8835" w:hanging="180"/>
      </w:pPr>
    </w:lvl>
  </w:abstractNum>
  <w:num w:numId="1" w16cid:durableId="710306174">
    <w:abstractNumId w:val="1"/>
  </w:num>
  <w:num w:numId="2" w16cid:durableId="1842817476">
    <w:abstractNumId w:val="2"/>
  </w:num>
  <w:num w:numId="3" w16cid:durableId="1753429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298948">
    <w:abstractNumId w:val="3"/>
  </w:num>
  <w:num w:numId="5" w16cid:durableId="871189388">
    <w:abstractNumId w:val="7"/>
  </w:num>
  <w:num w:numId="6" w16cid:durableId="212664363">
    <w:abstractNumId w:val="4"/>
  </w:num>
  <w:num w:numId="7" w16cid:durableId="405684321">
    <w:abstractNumId w:val="5"/>
  </w:num>
  <w:num w:numId="8" w16cid:durableId="877399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A9"/>
    <w:rsid w:val="000047C7"/>
    <w:rsid w:val="000052BB"/>
    <w:rsid w:val="00017B94"/>
    <w:rsid w:val="00037621"/>
    <w:rsid w:val="000453D7"/>
    <w:rsid w:val="00071E3B"/>
    <w:rsid w:val="00085FD2"/>
    <w:rsid w:val="0009055C"/>
    <w:rsid w:val="000A065A"/>
    <w:rsid w:val="000A74DA"/>
    <w:rsid w:val="000B6E14"/>
    <w:rsid w:val="000C5AEC"/>
    <w:rsid w:val="000C5E1D"/>
    <w:rsid w:val="000D7A75"/>
    <w:rsid w:val="000E55AB"/>
    <w:rsid w:val="000F1344"/>
    <w:rsid w:val="00107854"/>
    <w:rsid w:val="001275D9"/>
    <w:rsid w:val="00135E71"/>
    <w:rsid w:val="001634F4"/>
    <w:rsid w:val="00166B7A"/>
    <w:rsid w:val="00176E76"/>
    <w:rsid w:val="00197CDE"/>
    <w:rsid w:val="001A797D"/>
    <w:rsid w:val="001C4E5C"/>
    <w:rsid w:val="001C5683"/>
    <w:rsid w:val="001D65A2"/>
    <w:rsid w:val="001E7841"/>
    <w:rsid w:val="001F22B7"/>
    <w:rsid w:val="001F3DA8"/>
    <w:rsid w:val="00201308"/>
    <w:rsid w:val="00207D29"/>
    <w:rsid w:val="00210F4C"/>
    <w:rsid w:val="002251F8"/>
    <w:rsid w:val="002438F1"/>
    <w:rsid w:val="002564F5"/>
    <w:rsid w:val="00260572"/>
    <w:rsid w:val="0026523C"/>
    <w:rsid w:val="00281F8A"/>
    <w:rsid w:val="002A408F"/>
    <w:rsid w:val="002D14F9"/>
    <w:rsid w:val="002E1C8E"/>
    <w:rsid w:val="002E7A5F"/>
    <w:rsid w:val="003033CD"/>
    <w:rsid w:val="0031453B"/>
    <w:rsid w:val="0033047A"/>
    <w:rsid w:val="00335458"/>
    <w:rsid w:val="00355976"/>
    <w:rsid w:val="0037147D"/>
    <w:rsid w:val="00380C7E"/>
    <w:rsid w:val="003838FA"/>
    <w:rsid w:val="00387D5E"/>
    <w:rsid w:val="00393CF3"/>
    <w:rsid w:val="00394D69"/>
    <w:rsid w:val="003E0E50"/>
    <w:rsid w:val="003F70BD"/>
    <w:rsid w:val="0040129D"/>
    <w:rsid w:val="00404627"/>
    <w:rsid w:val="00476DDB"/>
    <w:rsid w:val="004B4642"/>
    <w:rsid w:val="004B5AA5"/>
    <w:rsid w:val="004C509E"/>
    <w:rsid w:val="004D2726"/>
    <w:rsid w:val="004D2BEB"/>
    <w:rsid w:val="004D3A46"/>
    <w:rsid w:val="004D4994"/>
    <w:rsid w:val="004F4D70"/>
    <w:rsid w:val="004F6754"/>
    <w:rsid w:val="00514700"/>
    <w:rsid w:val="0052552C"/>
    <w:rsid w:val="00533498"/>
    <w:rsid w:val="00546E0A"/>
    <w:rsid w:val="00550967"/>
    <w:rsid w:val="0055746C"/>
    <w:rsid w:val="00577068"/>
    <w:rsid w:val="005A292B"/>
    <w:rsid w:val="005B1BF0"/>
    <w:rsid w:val="005B2342"/>
    <w:rsid w:val="005C020E"/>
    <w:rsid w:val="005E09B3"/>
    <w:rsid w:val="005F7CCC"/>
    <w:rsid w:val="00605452"/>
    <w:rsid w:val="00607390"/>
    <w:rsid w:val="00607E25"/>
    <w:rsid w:val="00610AAC"/>
    <w:rsid w:val="00613514"/>
    <w:rsid w:val="00652F98"/>
    <w:rsid w:val="00655EDC"/>
    <w:rsid w:val="00657C2C"/>
    <w:rsid w:val="006659FB"/>
    <w:rsid w:val="00685018"/>
    <w:rsid w:val="006867E9"/>
    <w:rsid w:val="00687406"/>
    <w:rsid w:val="006B1A86"/>
    <w:rsid w:val="006B63F7"/>
    <w:rsid w:val="006C13C9"/>
    <w:rsid w:val="006C29C4"/>
    <w:rsid w:val="006E701B"/>
    <w:rsid w:val="006F0F0D"/>
    <w:rsid w:val="006F1EDB"/>
    <w:rsid w:val="00713CE4"/>
    <w:rsid w:val="00721E9F"/>
    <w:rsid w:val="007351CF"/>
    <w:rsid w:val="00760B28"/>
    <w:rsid w:val="0077115F"/>
    <w:rsid w:val="00776A76"/>
    <w:rsid w:val="0078035B"/>
    <w:rsid w:val="0079664B"/>
    <w:rsid w:val="007A5A12"/>
    <w:rsid w:val="007B5228"/>
    <w:rsid w:val="007C0B18"/>
    <w:rsid w:val="007C3E60"/>
    <w:rsid w:val="007C71B0"/>
    <w:rsid w:val="007D234D"/>
    <w:rsid w:val="007D4095"/>
    <w:rsid w:val="007D6D61"/>
    <w:rsid w:val="007F55A2"/>
    <w:rsid w:val="00800DDD"/>
    <w:rsid w:val="0080548A"/>
    <w:rsid w:val="0080750F"/>
    <w:rsid w:val="008115E7"/>
    <w:rsid w:val="00812E88"/>
    <w:rsid w:val="0081621A"/>
    <w:rsid w:val="00826865"/>
    <w:rsid w:val="008276A4"/>
    <w:rsid w:val="008304C9"/>
    <w:rsid w:val="00833FE5"/>
    <w:rsid w:val="00851385"/>
    <w:rsid w:val="008523A4"/>
    <w:rsid w:val="00856EF5"/>
    <w:rsid w:val="00860B48"/>
    <w:rsid w:val="00866422"/>
    <w:rsid w:val="0087268C"/>
    <w:rsid w:val="00873401"/>
    <w:rsid w:val="008747DD"/>
    <w:rsid w:val="00882992"/>
    <w:rsid w:val="00895395"/>
    <w:rsid w:val="008A7D41"/>
    <w:rsid w:val="008B2DBA"/>
    <w:rsid w:val="008B6BDC"/>
    <w:rsid w:val="008D239C"/>
    <w:rsid w:val="008F6718"/>
    <w:rsid w:val="009206AE"/>
    <w:rsid w:val="009229FB"/>
    <w:rsid w:val="0092632C"/>
    <w:rsid w:val="00927078"/>
    <w:rsid w:val="0093501E"/>
    <w:rsid w:val="00937C81"/>
    <w:rsid w:val="0094671F"/>
    <w:rsid w:val="00953C55"/>
    <w:rsid w:val="009548A6"/>
    <w:rsid w:val="009632E9"/>
    <w:rsid w:val="00963E32"/>
    <w:rsid w:val="00985262"/>
    <w:rsid w:val="00987705"/>
    <w:rsid w:val="009915D3"/>
    <w:rsid w:val="00993CA8"/>
    <w:rsid w:val="00996AE6"/>
    <w:rsid w:val="009A2489"/>
    <w:rsid w:val="009A4376"/>
    <w:rsid w:val="009C05A9"/>
    <w:rsid w:val="009C2079"/>
    <w:rsid w:val="009D3A68"/>
    <w:rsid w:val="009D7F43"/>
    <w:rsid w:val="009F46F6"/>
    <w:rsid w:val="00A00782"/>
    <w:rsid w:val="00A205F4"/>
    <w:rsid w:val="00AA4972"/>
    <w:rsid w:val="00AA5393"/>
    <w:rsid w:val="00AB4170"/>
    <w:rsid w:val="00AD1462"/>
    <w:rsid w:val="00AD335B"/>
    <w:rsid w:val="00AF0B13"/>
    <w:rsid w:val="00B05436"/>
    <w:rsid w:val="00B17289"/>
    <w:rsid w:val="00B32083"/>
    <w:rsid w:val="00B320CA"/>
    <w:rsid w:val="00B3241A"/>
    <w:rsid w:val="00B35D62"/>
    <w:rsid w:val="00B601BA"/>
    <w:rsid w:val="00B7298E"/>
    <w:rsid w:val="00B74891"/>
    <w:rsid w:val="00B77A9B"/>
    <w:rsid w:val="00B77FF3"/>
    <w:rsid w:val="00BA34F2"/>
    <w:rsid w:val="00BA563D"/>
    <w:rsid w:val="00BC058C"/>
    <w:rsid w:val="00BD37AC"/>
    <w:rsid w:val="00BD6A14"/>
    <w:rsid w:val="00BE2117"/>
    <w:rsid w:val="00BE5AF8"/>
    <w:rsid w:val="00BF5FDE"/>
    <w:rsid w:val="00C02632"/>
    <w:rsid w:val="00C12AB3"/>
    <w:rsid w:val="00C23879"/>
    <w:rsid w:val="00C367A2"/>
    <w:rsid w:val="00C37362"/>
    <w:rsid w:val="00C424E9"/>
    <w:rsid w:val="00C472C7"/>
    <w:rsid w:val="00C54C4E"/>
    <w:rsid w:val="00C57DBF"/>
    <w:rsid w:val="00C615E8"/>
    <w:rsid w:val="00C70864"/>
    <w:rsid w:val="00C70F2F"/>
    <w:rsid w:val="00C75880"/>
    <w:rsid w:val="00C915D8"/>
    <w:rsid w:val="00CA476C"/>
    <w:rsid w:val="00CA48D8"/>
    <w:rsid w:val="00CB2BE4"/>
    <w:rsid w:val="00CB7927"/>
    <w:rsid w:val="00CC3F07"/>
    <w:rsid w:val="00CC663D"/>
    <w:rsid w:val="00CD4493"/>
    <w:rsid w:val="00CF5BA6"/>
    <w:rsid w:val="00D0446A"/>
    <w:rsid w:val="00D27EC7"/>
    <w:rsid w:val="00D50E51"/>
    <w:rsid w:val="00D53355"/>
    <w:rsid w:val="00D56255"/>
    <w:rsid w:val="00D63BC5"/>
    <w:rsid w:val="00D77142"/>
    <w:rsid w:val="00D9194D"/>
    <w:rsid w:val="00D93844"/>
    <w:rsid w:val="00DC1673"/>
    <w:rsid w:val="00DE0F59"/>
    <w:rsid w:val="00DE385F"/>
    <w:rsid w:val="00DE3DA9"/>
    <w:rsid w:val="00DF7105"/>
    <w:rsid w:val="00E0224F"/>
    <w:rsid w:val="00E31291"/>
    <w:rsid w:val="00E324F5"/>
    <w:rsid w:val="00E55D1A"/>
    <w:rsid w:val="00E56EE2"/>
    <w:rsid w:val="00E6173C"/>
    <w:rsid w:val="00E66E9B"/>
    <w:rsid w:val="00E83B4F"/>
    <w:rsid w:val="00E946ED"/>
    <w:rsid w:val="00EA7854"/>
    <w:rsid w:val="00EC3E8B"/>
    <w:rsid w:val="00ED7481"/>
    <w:rsid w:val="00F02C62"/>
    <w:rsid w:val="00F04AAB"/>
    <w:rsid w:val="00F06305"/>
    <w:rsid w:val="00F06757"/>
    <w:rsid w:val="00F2713B"/>
    <w:rsid w:val="00F30ED6"/>
    <w:rsid w:val="00F375A1"/>
    <w:rsid w:val="00F52774"/>
    <w:rsid w:val="00F52BC3"/>
    <w:rsid w:val="00F546C4"/>
    <w:rsid w:val="00F6710B"/>
    <w:rsid w:val="00F722FB"/>
    <w:rsid w:val="00F73351"/>
    <w:rsid w:val="00F7570E"/>
    <w:rsid w:val="00F8130A"/>
    <w:rsid w:val="00FA35C2"/>
    <w:rsid w:val="00FA5455"/>
    <w:rsid w:val="00FB7A58"/>
    <w:rsid w:val="00FE223C"/>
    <w:rsid w:val="00FE4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6bfd9,#1d1d1b"/>
    </o:shapedefaults>
    <o:shapelayout v:ext="edit">
      <o:idmap v:ext="edit" data="2"/>
    </o:shapelayout>
  </w:shapeDefaults>
  <w:decimalSymbol w:val=","/>
  <w:listSeparator w:val=";"/>
  <w14:docId w14:val="2E0C4DE6"/>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CB2BE4"/>
    <w:pPr>
      <w:spacing w:after="160" w:line="256" w:lineRule="auto"/>
      <w:ind w:left="720"/>
      <w:contextualSpacing/>
    </w:pPr>
    <w:rPr>
      <w:rFonts w:asciiTheme="minorHAnsi" w:eastAsiaTheme="minorHAnsi" w:hAnsiTheme="minorHAnsi" w:cstheme="minorBidi"/>
      <w:szCs w:val="22"/>
      <w:lang w:eastAsia="en-US"/>
    </w:rPr>
  </w:style>
  <w:style w:type="character" w:styleId="Siln">
    <w:name w:val="Strong"/>
    <w:basedOn w:val="Standardnpsmoodstavce"/>
    <w:uiPriority w:val="22"/>
    <w:qFormat/>
    <w:rsid w:val="008B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575163716">
      <w:bodyDiv w:val="1"/>
      <w:marLeft w:val="0"/>
      <w:marRight w:val="0"/>
      <w:marTop w:val="0"/>
      <w:marBottom w:val="0"/>
      <w:divBdr>
        <w:top w:val="none" w:sz="0" w:space="0" w:color="auto"/>
        <w:left w:val="none" w:sz="0" w:space="0" w:color="auto"/>
        <w:bottom w:val="none" w:sz="0" w:space="0" w:color="auto"/>
        <w:right w:val="none" w:sz="0" w:space="0" w:color="auto"/>
      </w:divBdr>
    </w:div>
    <w:div w:id="1814250560">
      <w:bodyDiv w:val="1"/>
      <w:marLeft w:val="0"/>
      <w:marRight w:val="0"/>
      <w:marTop w:val="0"/>
      <w:marBottom w:val="0"/>
      <w:divBdr>
        <w:top w:val="none" w:sz="0" w:space="0" w:color="auto"/>
        <w:left w:val="none" w:sz="0" w:space="0" w:color="auto"/>
        <w:bottom w:val="none" w:sz="0" w:space="0" w:color="auto"/>
        <w:right w:val="none" w:sz="0" w:space="0" w:color="auto"/>
      </w:divBdr>
    </w:div>
    <w:div w:id="1895307354">
      <w:bodyDiv w:val="1"/>
      <w:marLeft w:val="0"/>
      <w:marRight w:val="0"/>
      <w:marTop w:val="0"/>
      <w:marBottom w:val="0"/>
      <w:divBdr>
        <w:top w:val="none" w:sz="0" w:space="0" w:color="auto"/>
        <w:left w:val="none" w:sz="0" w:space="0" w:color="auto"/>
        <w:bottom w:val="none" w:sz="0" w:space="0" w:color="auto"/>
        <w:right w:val="none" w:sz="0" w:space="0" w:color="auto"/>
      </w:divBdr>
    </w:div>
    <w:div w:id="1906180821">
      <w:bodyDiv w:val="1"/>
      <w:marLeft w:val="0"/>
      <w:marRight w:val="0"/>
      <w:marTop w:val="0"/>
      <w:marBottom w:val="0"/>
      <w:divBdr>
        <w:top w:val="none" w:sz="0" w:space="0" w:color="auto"/>
        <w:left w:val="none" w:sz="0" w:space="0" w:color="auto"/>
        <w:bottom w:val="none" w:sz="0" w:space="0" w:color="auto"/>
        <w:right w:val="none" w:sz="0" w:space="0" w:color="auto"/>
      </w:divBdr>
    </w:div>
    <w:div w:id="20736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405F-ED64-48CA-BE7F-D25FB3DB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KŘP Moravskoslezského kraje UD.dotx</Template>
  <TotalTime>1</TotalTime>
  <Pages>2</Pages>
  <Words>686</Words>
  <Characters>4050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PC</cp:lastModifiedBy>
  <cp:revision>2</cp:revision>
  <cp:lastPrinted>2020-05-22T09:04:00Z</cp:lastPrinted>
  <dcterms:created xsi:type="dcterms:W3CDTF">2025-02-03T10:34:00Z</dcterms:created>
  <dcterms:modified xsi:type="dcterms:W3CDTF">2025-02-03T10:34:00Z</dcterms:modified>
</cp:coreProperties>
</file>